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 xml:space="preserve">ПРИЛОЖЕНИЕ К РЕЗОЛЮЦИИ </w:t>
      </w:r>
      <w:r>
        <w:rPr/>
        <w:t xml:space="preserve">ФОРУМА ДЕНЬ КАЧЕСТВА НКО — 2021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8"/>
        <w:gridCol w:w="6259"/>
        <w:gridCol w:w="7713"/>
      </w:tblGrid>
      <w:tr>
        <w:trPr/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Экспертная сессия </w:t>
            </w:r>
            <w:r>
              <w:rPr>
                <w:b/>
                <w:bCs/>
              </w:rPr>
              <w:t>Качество услуг, оказываемых пожилым людям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Потребители не знают о всех доступных услугах и помощи в социальной сфере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Поставщики услуг в социальной сфере не знакомы с IT технологиями, что снижает качество обслуживания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Существующие стандарты не соответствуют потребностям потребителей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Поставщики услуг в социальной сфере не владеют компетенциями по управлению качеством услуг и использованию инструментов для повышения качества услуг.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Необходимо реализовывать системные подходы, направленные на выявление нуждающихся в социальной помощи граждан (Социальный участковый)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Внедрение IT технологий в систему социального обслуживания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Межведомственное взаимодействие - основа качественного сопровождения (маршрутизации) людей пожилого возраста, нужны новые подходы, возможно сквозные стандарты по работе с уязвимыми потребителями с учетом их особенностей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Необходимо повышать информированность поставщиков о возможности применения инструментов для повышения качества услуг, учить проводить внутренние и внешние аудиты. 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Экспертная сессия </w:t>
            </w:r>
            <w:r>
              <w:rPr>
                <w:b/>
                <w:bCs/>
              </w:rPr>
              <w:t>Качество услуг по сопровождаемому проживанию и услуг по трудоустройству людей с ОВЗ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Отсутствие реальных возможностей и действующих механизмов для творческой самореализации и трудоустройства людей с инвалидностью (создание сувенирной продукции, творческих продуктов, фильмов, социальная реклама и др.)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Не разработаны  отдельные меры поддержки для предпринимателей  с инвалидностью и организаций в которых трудятся люди с инвалидностью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Нет стандарта услуги по сопровождаемому трудоустройству (по трудоустройству работника – сопровождение до рабочего  места, возможность выхода из дома, транспортная доступность)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Не реализуется услуга ассистента-помощника  для людей с ОВЗ старше 18 лет.  Подбор и специфика ассистента для инвалида, согласно проведенной типизации Приказом Минтруда России от 12 апреля 2017 года N 351н «Об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Отсутствует стандарт заполнения ИПРА и ИПСА в части потребности в профессиональном образовании лиц с ОВЗ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Утвердить профориентационную работу как часть комплексного медико-психолого-педагогического сопровождения детей-инвалидов до момента трудоустройства, с построением образовательного маршрута с участием педагогов, психологов, реабилитологов ( пример практика Медицинско-образовательного кластера "Рябина").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Поддержать разработку стандартов качества оказания услуг по трудоустройству инвалидов и лиц с ОВЗ с использованием региональных цифровых инструментов и сервисов, обеспечивающих непрерывное и преемственное сопровождение профессионализации инвалидов с учётом специфики и потребностей регионов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Дополнить Приказ Минтруда России № 847 от 14 декабря 2017 г.«Об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 и Приказ Минтруда России от 3 августа 2018 г. № 518н “Об утверждении федерального государственного стандарта государственной услуги по организации сопровождения при содействии занятости инвалидов” требованиями организации услуг сопровождения с внедрением профессионального стандарта "Ассистент (помощник) по оказанию технической помощи инвалидам и лицам с ограниченными возможностями здоровья.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3.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 в сфере культуры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Отсутствуют системные подходы в области оценки качества проводимых мероприятий в учреждениях культуры и организациях, оказывающих услуги населению в сфере культуры.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Процедура независимой оценки качества условий оказания услуг, которая проводится общественными советами не включает оценку содержательной части деятельности учреждения, что является основой услуги в сфере культуры.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Условия проведения конкурсных процедур сегодня способствуют тому, что заказ может получить организация, которая совсем не имеет представления о том, как оказывать услуги в сфере культуры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 </w:t>
            </w:r>
            <w:r>
              <w:rPr/>
              <w:t>Определить понятия ответственного поставщика услуг в сфере услуг и с учетом этих требований пересмотреть условия участия в конкурсных процедурах.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Определить понятийный рад, характеризующий качество культурного  контента.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Выработать единые критерии качества оказания услуг в сфере культуры.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Выработать единый механизм (базовый) взаимодействия НКО и госучреждениями.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На базе существующих Домов культуры создать  аккредитованные организации, которые могут принимать решение в отношении качества оказанных услуг.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4.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 детских развивающих центров, дошкольных учреждений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На рынке детских развивающих центров и частных детских садов отсутствует компетенции  руководителей по работе со стандартами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Только небольшая часть руководителей имеет компетенции, чтобы оценить  качество  оказываемых услуг, мало кто применяет стандарты, внедряют систему менеджмента качества.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Курсы, которые сегодня предлагаются для руководителей детских центров не включают информацию о работе со стандартами и СМК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Повышать компетенции руководителей и специалистов детских центров и дошкольных учреждений в части управления качества услуг путем создания специализированных курсов  для руководителей и специалистов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Инициировать разработку стандартов деятельности детских развивающих центров с вовлечением широкого экспертного сообщества 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5. 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услуг, оказываемых подросткам и молодежи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 </w:t>
            </w:r>
            <w:r>
              <w:rPr/>
              <w:t>Специалисты, работающие в сфере оказания услуг подросткам и молодежи не владеют компетенциями по оценке качества.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В данной области отсутствуют инструменты, позволяющие оценить качество услуг.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3. При разработке мероприятий и услуг сама молодежь мало вовлекается, что значительно снижает их удовлетворенность участия в данных мероприятиях и активностях.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4. Оценкой качества не занимаются. 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Привлечение к обсуждению вопросов профильных специалистов в области стандартизации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Разработка критериев  качества на принципах – взаимовлияния стандартов и молодежной среды,  открытости, гибкости, ответственности, осознанности и толерантности к изменениям.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Интеграция деятельности НКО  в реальные задачи региона.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Организация молодежных кружков качества, например на базе ВУЗов.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6.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 по медико-социальной поддержке граждан с ограничениями жизнедеятельности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Недостаточная индивидуализация при предоставлении ТСР в зависимости от состояния здоровья и потребности инвалидов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Отсутствие отбора наиболее качественных ТСР, соц. услуг для обеспечения инвалидов в виду высокой значимости ценового критерия при проведении торгов и низкий размер возмещения расходов при выплате компенсации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3. Длительный срок, проходящий с момента возникновения потребности в ТСР или услуге до их фактического получения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4. Отсутствие этапного контроля за назначением ТСР или услуг и их фактическим получением и использованием.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5. Недостаток информирования и информированности, как граждан, так и специалистов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налаживание межведомственного взаимодействия между социальными, государственными и медицинскими организациями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включение профессиональных медицинских сообществ в комиссии ГУ ФСС РФ по приемке ТСР по качеству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стандарты  контроля качества за назначенными и полученными ТСР и услугами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формирование единых подходов к организации оказания социальной помощи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внедрение в практику наиболее эффективных и безопасных технологий предоставления соц. услуг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7.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услуг, оказываемых взрослым и детям с ОВЗ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Существуют успешные региональные практики по оказанию услуг взрослым и детям с ОВЗ с использованием современных технологий, но данные практики очень слабо распространяются, так как не ложатся в стандарты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Отсутствует единая общедоступная библиотека социальных сервисов в форме стандартов операционных процедур унифицированных форм практик и опыта регионов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Рекомендовать разработку трёхуровневых стандартов предоставления социальных услуг: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Одобрить предложенный механизм разработки и внедрения трехуровневых стандартов через создание саморегулируемой организации;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Одобрить проект разработанного в Свердловской области Трехуровнего стандарта предоставления социальных услуг детям – инвалидам, в возрасте 4-9 лет, имеющим ментальные нарушения.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8.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Внедрение системы менеджмента качества и стандартов в организациях социальной сферы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Нет единой базы стандартов в социальной сфере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Нет понятного механизма и компетенций в НКО для трансфера практик в стандарты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Рекомендовать институтам развития НКО (Ресурсным центрам, фондам развития, центрам инноваций социальной сферы включить в образовательный контент мероприятия, направленные на повышение компетенций специалистов НКО по работе со стандартами и другими инструментами управления качеством услуг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Инициировать создание профессиональных сообществ (клубов, комитетов, рабочих групп) для обсуждения практик и взаимодействия с Техническими комитетами по соответствующим направлениям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Рекомендовать НКО принимать активное участие в конкурсе на соискание Премии Правительства РФ в области качества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9.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 спортивных секций и клубов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Отсутствуют механизмы оценки и управления качеством услуг в действующих спортивных организациях, есть много  "подвальных секций"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2. Существующие профессиональные сообщества не закрывают все потребности для постоянного обмена практиками.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Необходимо развивать новые форматы, как например креативный кластер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Создать в регионах консультационные службы развития  секций для вывода их работы на уровень стандартов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Инициировать создание межрегиональных рабочих групп по разработке стандартов качества спортивных клубов и секций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10.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Оценка результатов и воздействия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Происходит смена правил игры в оценке проектов НКО в рамках региональных грантов губернаторов, требуется больше прозрачности, доказательств объективности.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Остается проблема доверия к экспертам и экспертному сообществу.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3. Для разных типов зрелости организаций нужны разные подходы к оценке.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4. Идет процесс активного заимствования в оценке эффективности НКО метрик из бизнеса, однако оценка социального воздействия продолжает нуждаться в разработке качественного инструментария.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5. Для внутренней оценки деятельности НКО важно понять место и роль НКО в меняющейся системе общественных отношений. Какие задачи встают перед некоммерческим сектором на новом этапе развития. 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Определить критерии и требования к экспертам, возможно даже проводить аттестацию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В заявки на финансирование проектов включить пункт для определения степени зрелости инновации предлагаемого проекта и относительно степени зрелости выставлять баллы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Более активно поддерживать проекты направленные на разработку нового инструментария по оценке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11.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Качественное развитие креативных индустрий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Отсутствие единой нормативно правовой базы;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Отсутствие единых мер поддержки представителей творческих (креативных) индустрий;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3. Отсутствие понимания в регионов важности введения мер поддержки и развития творческих (креативных) индустрий.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Проведение мониторинга (комплексного анализа, исследования) креативных индустрий в субъектах Российской Федерации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Утверждение на уровне Российской Федерации перечня приоритетных творческих (креативных) индустрий (реестра), создание сайта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Анализ существующих мер государственной поддержки организаций, предпринимателей, осуществляющих творческую, интеллектуальную, инновационную деятельность, целях государственной поддержки субъектов творческих (креативных) индустрий.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Создание открытой системы статистического наблюдения развития творческих (креативных) индустрий и предпринимательства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 xml:space="preserve">Внедрение образовательных программ программ по направлениям творческих (креативных) индустрий.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Проведение мероприятий по информационному освещению и популяризации творческих (креативных) индустрий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12.</w:t>
            </w:r>
          </w:p>
        </w:tc>
        <w:tc>
          <w:tcPr>
            <w:tcW w:w="1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Экспертная сессия: Качество услуг, оказываемых беременным женщинам, женщинам с детьми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Предложения по улучшению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>Низкий уровень развития профессионального сообщества в области оценки и масштабирования лучших практик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2. Недостаточно развита нормативно-правовая база для контроля качества услуг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3. Недостаточно объединяющих информационных ресурсов на уровне регионов и федеральных округов для размещения существующих практик, а также  каналов донесения информации о них до целевых аудиторий</w:t>
            </w:r>
          </w:p>
        </w:tc>
        <w:tc>
          <w:tcPr>
            <w:tcW w:w="7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/>
              <w:t xml:space="preserve">Рекомендовать НКО внести в стратегию развития организации мероприятия по повышению качества предоставляемых услуг 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Стимулировать организацию онлайн и офлайн мероприятий по презентации практик с оценкой качества предоставляемых услуг и разработкой рекомендаций по совершенствованию деятельности НКО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Распространять информацию о деятельности организаций и их проектах, связанных с услугами, предоставляемыми беременным женщинам, женщинам с детьми среди целевой аудитории в поликлиниках, женских консультациях и др.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Разработка предложений по совершенствованию нормативно-правового регулирования, направленного на обеспечение контроля качества услуг.</w:t>
            </w:r>
          </w:p>
          <w:p>
            <w:pPr>
              <w:pStyle w:val="Style19"/>
              <w:bidi w:val="0"/>
              <w:jc w:val="both"/>
              <w:rPr/>
            </w:pPr>
            <w:r>
              <w:rPr/>
              <w:t>Предложить размещать лучшие практики на платформах «Смартека» и «Добро.ру» для расширения возможностей их тиражирования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Объект без заливки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1">
    <w:name w:val="Объект без заливки и линий"/>
    <w:basedOn w:val="Normal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2"/>
    <w:qFormat/>
    <w:pPr/>
    <w:rPr>
      <w:rFonts w:ascii="Noto Sans" w:hAnsi="Noto Sans"/>
      <w:sz w:val="36"/>
    </w:rPr>
  </w:style>
  <w:style w:type="paragraph" w:styleId="Style22">
    <w:name w:val="Текст"/>
    <w:basedOn w:val="Style1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3">
    <w:name w:val="Графика"/>
    <w:qFormat/>
    <w:pPr>
      <w:widowControl/>
      <w:bidi w:val="0"/>
    </w:pPr>
    <w:rPr>
      <w:rFonts w:ascii="Liberation Sans" w:hAnsi="Liberation Sans" w:eastAsia="Tahoma" w:cs="Noto Sans"/>
      <w:color w:val="auto"/>
      <w:kern w:val="2"/>
      <w:sz w:val="36"/>
      <w:szCs w:val="24"/>
      <w:lang w:val="ru-RU" w:eastAsia="zh-CN" w:bidi="hi-IN"/>
    </w:rPr>
  </w:style>
  <w:style w:type="paragraph" w:styleId="Style24">
    <w:name w:val="Фигуры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 сини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зелё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крас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жёлт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Контур"/>
    <w:basedOn w:val="Style24"/>
    <w:qFormat/>
    <w:pPr/>
    <w:rPr>
      <w:rFonts w:ascii="Liberation Sans" w:hAnsi="Liberation Sans"/>
      <w:b/>
      <w:sz w:val="28"/>
    </w:rPr>
  </w:style>
  <w:style w:type="paragraph" w:styleId="Style31">
    <w:name w:val="Контур синий"/>
    <w:basedOn w:val="Style30"/>
    <w:qFormat/>
    <w:pPr/>
    <w:rPr>
      <w:rFonts w:ascii="Liberation Sans" w:hAnsi="Liberation Sans"/>
      <w:b/>
      <w:color w:val="355269"/>
      <w:sz w:val="28"/>
    </w:rPr>
  </w:style>
  <w:style w:type="paragraph" w:styleId="Style32">
    <w:name w:val="Контур зеленый"/>
    <w:basedOn w:val="Style30"/>
    <w:qFormat/>
    <w:pPr/>
    <w:rPr>
      <w:rFonts w:ascii="Liberation Sans" w:hAnsi="Liberation Sans"/>
      <w:b/>
      <w:color w:val="127622"/>
      <w:sz w:val="28"/>
    </w:rPr>
  </w:style>
  <w:style w:type="paragraph" w:styleId="Style33">
    <w:name w:val="Контур красный"/>
    <w:basedOn w:val="Style30"/>
    <w:qFormat/>
    <w:pPr/>
    <w:rPr>
      <w:rFonts w:ascii="Liberation Sans" w:hAnsi="Liberation Sans"/>
      <w:b/>
      <w:color w:val="C9211E"/>
      <w:sz w:val="28"/>
    </w:rPr>
  </w:style>
  <w:style w:type="paragraph" w:styleId="Style34">
    <w:name w:val="Контур жёлтый"/>
    <w:basedOn w:val="Style30"/>
    <w:qFormat/>
    <w:pPr/>
    <w:rPr>
      <w:rFonts w:ascii="Liberation Sans" w:hAnsi="Liberation Sans"/>
      <w:b/>
      <w:color w:val="B47804"/>
      <w:sz w:val="28"/>
    </w:rPr>
  </w:style>
  <w:style w:type="paragraph" w:styleId="Style35">
    <w:name w:val="Линии"/>
    <w:basedOn w:val="Style23"/>
    <w:qFormat/>
    <w:pPr/>
    <w:rPr>
      <w:rFonts w:ascii="Liberation Sans" w:hAnsi="Liberation Sans"/>
      <w:sz w:val="36"/>
    </w:rPr>
  </w:style>
  <w:style w:type="paragraph" w:styleId="Style36">
    <w:name w:val="Стрелки"/>
    <w:basedOn w:val="Style35"/>
    <w:qFormat/>
    <w:pPr/>
    <w:rPr>
      <w:rFonts w:ascii="Liberation Sans" w:hAnsi="Liberation Sans"/>
      <w:sz w:val="36"/>
    </w:rPr>
  </w:style>
  <w:style w:type="paragraph" w:styleId="Style37">
    <w:name w:val="Штриховая линия"/>
    <w:basedOn w:val="Style35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BlankSlideLTNotizen">
    <w:name w:val="Blank Slide~LT~Notizen"/>
    <w:qFormat/>
    <w:pPr>
      <w:widowControl/>
      <w:bidi w:val="0"/>
      <w:ind w:left="340" w:hanging="34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BlankSlideLTHintergrundobjekte">
    <w:name w:val="Blank Slide~LT~Hintergrundobjekte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BlankSlideLTHintergrund">
    <w:name w:val="Blank Slide~LT~Hintergrund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</w:pPr>
    <w:rPr>
      <w:rFonts w:ascii="Lucida Sans" w:hAnsi="Lucida Sans" w:eastAsia="Tahoma" w:cs="Noto Sans"/>
      <w:color w:val="auto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38">
    <w:name w:val="Объекты фона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Style39">
    <w:name w:val="Фон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Style40">
    <w:name w:val="Примечания"/>
    <w:qFormat/>
    <w:pPr>
      <w:widowControl/>
      <w:bidi w:val="0"/>
      <w:ind w:left="340" w:hanging="34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bidi w:val="0"/>
      <w:spacing w:before="283" w:after="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Обычный~LT~Gliederung 1"/>
    <w:qFormat/>
    <w:pPr>
      <w:widowControl/>
      <w:bidi w:val="0"/>
      <w:spacing w:before="283" w:after="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LTUntertitel">
    <w:name w:val="Обычный~LT~Unter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Обычный~LT~Notizen"/>
    <w:qFormat/>
    <w:pPr>
      <w:widowControl/>
      <w:bidi w:val="0"/>
      <w:ind w:left="340" w:hanging="34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Обычный~LT~Hintergrundobjekte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Обычный~LT~Hintergrund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1LTGliederung1">
    <w:name w:val="Обычный 1~LT~Gliederung 1"/>
    <w:qFormat/>
    <w:pPr>
      <w:widowControl/>
      <w:bidi w:val="0"/>
      <w:spacing w:before="283" w:after="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1LTUntertitel">
    <w:name w:val="Обычный 1~LT~Untertitel"/>
    <w:qFormat/>
    <w:pPr>
      <w:widowControl/>
      <w:bidi w:val="0"/>
      <w:jc w:val="center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1LTNotizen">
    <w:name w:val="Обычный 1~LT~Notizen"/>
    <w:qFormat/>
    <w:pPr>
      <w:widowControl/>
      <w:bidi w:val="0"/>
      <w:ind w:left="340" w:hanging="340"/>
    </w:pPr>
    <w:rPr>
      <w:rFonts w:ascii="Lucida Sans" w:hAnsi="Lucida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LTHintergrundobjekte">
    <w:name w:val="Обычный 1~LT~Hintergrundobjekte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1LTHintergrund">
    <w:name w:val="Обычный 1~LT~Hintergrund"/>
    <w:qFormat/>
    <w:pPr>
      <w:widowControl/>
      <w:bidi w:val="0"/>
    </w:pPr>
    <w:rPr>
      <w:rFonts w:ascii="Liberation Serif" w:hAnsi="Liberation Serif" w:eastAsia="Tahoma" w:cs="Noto Sans"/>
      <w:color w:val="auto"/>
      <w:kern w:val="2"/>
      <w:sz w:val="24"/>
      <w:szCs w:val="24"/>
      <w:lang w:val="ru-RU" w:eastAsia="zh-CN" w:bidi="hi-IN"/>
    </w:rPr>
  </w:style>
  <w:style w:type="paragraph" w:styleId="Style41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LibreOffice/7.1.6.2$Windows_X86_64 LibreOffice_project/0e133318fcee89abacd6a7d077e292f1145735c3</Application>
  <AppVersion>15.0000</AppVersion>
  <Pages>7</Pages>
  <Words>1595</Words>
  <Characters>11847</Characters>
  <CharactersWithSpaces>13352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2021-11-23T14:52:08Z</dcterms:created>
  <dc:creator/>
  <dc:description/>
  <dc:language>ru-RU</dc:language>
  <cp:lastModifiedBy/>
  <dcterms:modified xsi:type="dcterms:W3CDTF">2021-11-23T15:20:30Z</dcterms:modified>
  <cp:revision>3</cp:revision>
  <dc:subject/>
  <dc:title/>
</cp:coreProperties>
</file>